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104F" w:rsidRDefault="0050289B">
      <w:pPr>
        <w:spacing w:after="0" w:line="276" w:lineRule="auto"/>
        <w:jc w:val="center"/>
        <w:rPr>
          <w:rFonts w:ascii="Garamond" w:eastAsia="Garamond" w:hAnsi="Garamond" w:cs="Garamond"/>
          <w:b/>
          <w:sz w:val="24"/>
          <w:szCs w:val="24"/>
          <w:highlight w:val="white"/>
        </w:rPr>
      </w:pPr>
      <w:bookmarkStart w:id="0" w:name="_heading=h.gjdgxs" w:colFirst="0" w:colLast="0"/>
      <w:bookmarkEnd w:id="0"/>
      <w:r>
        <w:rPr>
          <w:rFonts w:ascii="Garamond" w:eastAsia="Garamond" w:hAnsi="Garamond" w:cs="Garamond"/>
          <w:b/>
          <w:color w:val="000000"/>
          <w:sz w:val="24"/>
          <w:szCs w:val="24"/>
          <w:highlight w:val="white"/>
        </w:rPr>
        <w:t>C</w:t>
      </w:r>
      <w:r>
        <w:rPr>
          <w:rFonts w:ascii="Garamond" w:eastAsia="Garamond" w:hAnsi="Garamond" w:cs="Garamond"/>
          <w:b/>
          <w:sz w:val="24"/>
          <w:szCs w:val="24"/>
          <w:highlight w:val="white"/>
        </w:rPr>
        <w:t>all for Papers</w:t>
      </w:r>
      <w:r>
        <w:rPr>
          <w:rFonts w:ascii="Garamond" w:eastAsia="Garamond" w:hAnsi="Garamond" w:cs="Garamond"/>
          <w:b/>
          <w:color w:val="000000"/>
          <w:sz w:val="24"/>
          <w:szCs w:val="24"/>
          <w:highlight w:val="white"/>
        </w:rPr>
        <w:t xml:space="preserve">: </w:t>
      </w:r>
      <w:bookmarkStart w:id="1" w:name="_GoBack"/>
      <w:r>
        <w:rPr>
          <w:rFonts w:ascii="Garamond" w:eastAsia="Garamond" w:hAnsi="Garamond" w:cs="Garamond"/>
          <w:b/>
          <w:color w:val="000000"/>
          <w:sz w:val="24"/>
          <w:szCs w:val="24"/>
          <w:highlight w:val="white"/>
        </w:rPr>
        <w:t>Habit in the Long Eighteenth Century</w:t>
      </w:r>
      <w:bookmarkEnd w:id="1"/>
    </w:p>
    <w:p w14:paraId="00000002" w14:textId="77777777" w:rsidR="00FF104F" w:rsidRDefault="00FF104F">
      <w:pPr>
        <w:spacing w:after="0" w:line="276" w:lineRule="auto"/>
        <w:jc w:val="center"/>
        <w:rPr>
          <w:rFonts w:ascii="Garamond" w:eastAsia="Garamond" w:hAnsi="Garamond" w:cs="Garamond"/>
          <w:b/>
          <w:sz w:val="24"/>
          <w:szCs w:val="24"/>
          <w:highlight w:val="white"/>
        </w:rPr>
      </w:pPr>
      <w:bookmarkStart w:id="2" w:name="_heading=h.j7l9cfuvjzzx" w:colFirst="0" w:colLast="0"/>
      <w:bookmarkEnd w:id="2"/>
    </w:p>
    <w:p w14:paraId="00000003" w14:textId="77777777" w:rsidR="00FF104F" w:rsidRDefault="0050289B">
      <w:pPr>
        <w:spacing w:after="0" w:line="276" w:lineRule="auto"/>
        <w:jc w:val="center"/>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Institute of Advanced Studies, UCL</w:t>
      </w:r>
    </w:p>
    <w:p w14:paraId="00000004" w14:textId="014049C4" w:rsidR="00FF104F" w:rsidRDefault="0050289B">
      <w:pPr>
        <w:spacing w:after="0" w:line="276" w:lineRule="auto"/>
        <w:jc w:val="center"/>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Friday, October 16</w:t>
      </w:r>
      <w:r>
        <w:rPr>
          <w:rFonts w:ascii="Garamond" w:eastAsia="Garamond" w:hAnsi="Garamond" w:cs="Garamond"/>
          <w:color w:val="000000"/>
          <w:sz w:val="24"/>
          <w:szCs w:val="24"/>
          <w:highlight w:val="white"/>
          <w:vertAlign w:val="superscript"/>
        </w:rPr>
        <w:t>th</w:t>
      </w:r>
      <w:r>
        <w:rPr>
          <w:rFonts w:ascii="Garamond" w:eastAsia="Garamond" w:hAnsi="Garamond" w:cs="Garamond"/>
          <w:color w:val="000000"/>
          <w:sz w:val="24"/>
          <w:szCs w:val="24"/>
          <w:highlight w:val="white"/>
        </w:rPr>
        <w:t xml:space="preserve"> – Saturday October 17</w:t>
      </w:r>
      <w:r>
        <w:rPr>
          <w:rFonts w:ascii="Garamond" w:eastAsia="Garamond" w:hAnsi="Garamond" w:cs="Garamond"/>
          <w:color w:val="000000"/>
          <w:sz w:val="24"/>
          <w:szCs w:val="24"/>
          <w:highlight w:val="white"/>
          <w:vertAlign w:val="superscript"/>
        </w:rPr>
        <w:t>th</w:t>
      </w:r>
      <w:r>
        <w:rPr>
          <w:rFonts w:ascii="Garamond" w:eastAsia="Garamond" w:hAnsi="Garamond" w:cs="Garamond"/>
          <w:color w:val="000000"/>
          <w:sz w:val="24"/>
          <w:szCs w:val="24"/>
          <w:highlight w:val="white"/>
        </w:rPr>
        <w:t>, 2020</w:t>
      </w:r>
    </w:p>
    <w:p w14:paraId="00000005" w14:textId="7C1BA92F" w:rsidR="00FF104F" w:rsidRDefault="00FF104F" w:rsidP="0050289B">
      <w:pPr>
        <w:spacing w:after="0" w:line="276" w:lineRule="auto"/>
        <w:rPr>
          <w:rFonts w:ascii="Garamond" w:eastAsia="Garamond" w:hAnsi="Garamond" w:cs="Garamond"/>
          <w:color w:val="000000"/>
          <w:sz w:val="24"/>
          <w:szCs w:val="24"/>
          <w:highlight w:val="white"/>
        </w:rPr>
      </w:pPr>
    </w:p>
    <w:p w14:paraId="4C36670F" w14:textId="77777777" w:rsidR="0050289B" w:rsidRDefault="0050289B" w:rsidP="0050289B">
      <w:pPr>
        <w:spacing w:after="0" w:line="276" w:lineRule="auto"/>
        <w:rPr>
          <w:rFonts w:ascii="Garamond" w:eastAsia="Garamond" w:hAnsi="Garamond" w:cs="Garamond"/>
          <w:color w:val="000000"/>
          <w:highlight w:val="white"/>
        </w:rPr>
      </w:pPr>
    </w:p>
    <w:p w14:paraId="00000006" w14:textId="77777777" w:rsidR="00FF104F" w:rsidRDefault="0050289B">
      <w:pPr>
        <w:spacing w:before="240" w:after="0" w:line="276" w:lineRule="auto"/>
        <w:rPr>
          <w:rFonts w:ascii="Garamond" w:eastAsia="Garamond" w:hAnsi="Garamond" w:cs="Garamond"/>
          <w:highlight w:val="white"/>
        </w:rPr>
      </w:pPr>
      <w:r>
        <w:rPr>
          <w:rFonts w:ascii="Garamond" w:eastAsia="Garamond" w:hAnsi="Garamond" w:cs="Garamond"/>
          <w:highlight w:val="white"/>
        </w:rPr>
        <w:t>The essayist William Hazlitt frames the tensions in the idea of habit as follows:</w:t>
      </w:r>
    </w:p>
    <w:p w14:paraId="00000007" w14:textId="77777777" w:rsidR="00FF104F" w:rsidRDefault="0050289B">
      <w:pPr>
        <w:spacing w:before="240" w:after="200" w:line="276" w:lineRule="auto"/>
        <w:ind w:left="720"/>
        <w:rPr>
          <w:rFonts w:ascii="Garamond" w:eastAsia="Garamond" w:hAnsi="Garamond" w:cs="Garamond"/>
          <w:highlight w:val="white"/>
        </w:rPr>
      </w:pPr>
      <w:r>
        <w:rPr>
          <w:rFonts w:ascii="Garamond" w:eastAsia="Garamond" w:hAnsi="Garamond" w:cs="Garamond"/>
          <w:highlight w:val="white"/>
        </w:rPr>
        <w:t>Habit in most cases hardens and encrusts by taking away the keener edge of our sensations: but does it not in others quicken and refine, by giving a mechanical facility and by engrafting an acquired sense?</w:t>
      </w:r>
    </w:p>
    <w:p w14:paraId="00000008" w14:textId="77777777" w:rsidR="00FF104F" w:rsidRDefault="0050289B">
      <w:pPr>
        <w:spacing w:after="0" w:line="276" w:lineRule="auto"/>
        <w:rPr>
          <w:rFonts w:ascii="Garamond" w:eastAsia="Garamond" w:hAnsi="Garamond" w:cs="Garamond"/>
          <w:highlight w:val="white"/>
        </w:rPr>
      </w:pPr>
      <w:r>
        <w:rPr>
          <w:rFonts w:ascii="Garamond" w:eastAsia="Garamond" w:hAnsi="Garamond" w:cs="Garamond"/>
          <w:highlight w:val="white"/>
        </w:rPr>
        <w:t xml:space="preserve">A contentious issue within philosophy as well as a largely unobserved feature of our everyday lives, habit reappears with a special pervasiveness in the culture and literature of the long eighteenth century. </w:t>
      </w:r>
      <w:r>
        <w:rPr>
          <w:rFonts w:ascii="Garamond" w:eastAsia="Garamond" w:hAnsi="Garamond" w:cs="Garamond"/>
          <w:color w:val="000000"/>
          <w:highlight w:val="white"/>
        </w:rPr>
        <w:t xml:space="preserve">As a person’s ‘second nature’, habit troubles distinctions between consciousness and unconsciousness, internal and external, intention and accident, nature and artifice. Its ambiguity and ‘double nature’ means that </w:t>
      </w:r>
      <w:r>
        <w:rPr>
          <w:rFonts w:ascii="Garamond" w:eastAsia="Garamond" w:hAnsi="Garamond" w:cs="Garamond"/>
          <w:highlight w:val="white"/>
        </w:rPr>
        <w:t xml:space="preserve">it </w:t>
      </w:r>
      <w:r>
        <w:rPr>
          <w:rFonts w:ascii="Garamond" w:eastAsia="Garamond" w:hAnsi="Garamond" w:cs="Garamond"/>
          <w:color w:val="000000"/>
          <w:highlight w:val="white"/>
        </w:rPr>
        <w:t xml:space="preserve">is variously championed and distrusted: Locke cautions against the deadening effect of the ‘empire of habit’, while Mary Wollstonecraft goes against the radical grain in writing that she ‘like[s] the word affection, because it signifies something habitual’. </w:t>
      </w:r>
      <w:r>
        <w:rPr>
          <w:rFonts w:ascii="Garamond" w:eastAsia="Garamond" w:hAnsi="Garamond" w:cs="Garamond"/>
          <w:highlight w:val="white"/>
        </w:rPr>
        <w:t xml:space="preserve">Politically, habit appears to stand on the side of conservatism and stasis, preserving the routines of the past. However, the very mutability of our habits, their capacity to be dropped and picked up, also suggests a human potential for change, inviting utopian possibilities for the future. </w:t>
      </w:r>
    </w:p>
    <w:p w14:paraId="00000009" w14:textId="23CF5C0C" w:rsidR="00FF104F" w:rsidRDefault="0050289B">
      <w:pPr>
        <w:spacing w:before="240" w:after="0" w:line="276" w:lineRule="auto"/>
        <w:jc w:val="both"/>
        <w:rPr>
          <w:rFonts w:ascii="Garamond" w:eastAsia="Garamond" w:hAnsi="Garamond" w:cs="Garamond"/>
          <w:color w:val="000000"/>
          <w:highlight w:val="white"/>
        </w:rPr>
      </w:pPr>
      <w:r>
        <w:rPr>
          <w:rFonts w:ascii="Garamond" w:eastAsia="Garamond" w:hAnsi="Garamond" w:cs="Garamond"/>
          <w:highlight w:val="white"/>
        </w:rPr>
        <w:t>The organisers invite you to respond to the idea of habit (between 1660 and 1830) in any way you like. Contributions may include, but are not limited to</w:t>
      </w:r>
      <w:r>
        <w:rPr>
          <w:rFonts w:ascii="Garamond" w:eastAsia="Garamond" w:hAnsi="Garamond" w:cs="Garamond"/>
          <w:color w:val="000000"/>
          <w:highlight w:val="white"/>
        </w:rPr>
        <w:t>:</w:t>
      </w:r>
    </w:p>
    <w:p w14:paraId="0000000A"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 </w:t>
      </w:r>
    </w:p>
    <w:p w14:paraId="0000000B"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*the philosophy of habit</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*habits of devotion</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*political economy</w:t>
      </w:r>
    </w:p>
    <w:p w14:paraId="0000000C"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*the politics of habit</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*self-help</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w:t>
      </w:r>
      <w:r>
        <w:rPr>
          <w:rFonts w:ascii="Garamond" w:eastAsia="Garamond" w:hAnsi="Garamond" w:cs="Garamond"/>
          <w:i/>
          <w:color w:val="000000"/>
          <w:highlight w:val="white"/>
        </w:rPr>
        <w:t xml:space="preserve">habitus </w:t>
      </w:r>
      <w:r>
        <w:rPr>
          <w:rFonts w:ascii="Garamond" w:eastAsia="Garamond" w:hAnsi="Garamond" w:cs="Garamond"/>
          <w:color w:val="000000"/>
          <w:highlight w:val="white"/>
        </w:rPr>
        <w:t>and habitat</w:t>
      </w:r>
    </w:p>
    <w:p w14:paraId="0000000D"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*moral perfectionism</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*habit and agency</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*prejudice</w:t>
      </w:r>
    </w:p>
    <w:p w14:paraId="0000000E"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*bad habits</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*theories of education</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*social character</w:t>
      </w:r>
    </w:p>
    <w:p w14:paraId="0000000F"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*repetition and mechanism</w:t>
      </w:r>
      <w:r>
        <w:rPr>
          <w:rFonts w:ascii="Garamond" w:eastAsia="Garamond" w:hAnsi="Garamond" w:cs="Garamond"/>
          <w:color w:val="000000"/>
          <w:highlight w:val="white"/>
        </w:rPr>
        <w:tab/>
      </w:r>
      <w:r>
        <w:rPr>
          <w:rFonts w:ascii="Garamond" w:eastAsia="Garamond" w:hAnsi="Garamond" w:cs="Garamond"/>
          <w:color w:val="000000"/>
          <w:highlight w:val="white"/>
        </w:rPr>
        <w:tab/>
        <w:t>*writing habits</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t>*nostalgia</w:t>
      </w:r>
    </w:p>
    <w:p w14:paraId="00000010" w14:textId="77777777" w:rsidR="00FF104F" w:rsidRDefault="0050289B">
      <w:pPr>
        <w:spacing w:after="0" w:line="276" w:lineRule="auto"/>
        <w:jc w:val="both"/>
        <w:rPr>
          <w:rFonts w:ascii="Garamond" w:eastAsia="Garamond" w:hAnsi="Garamond" w:cs="Garamond"/>
          <w:color w:val="000000"/>
          <w:highlight w:val="white"/>
        </w:rPr>
      </w:pPr>
      <w:r>
        <w:rPr>
          <w:rFonts w:ascii="Garamond" w:eastAsia="Garamond" w:hAnsi="Garamond" w:cs="Garamond"/>
          <w:color w:val="000000"/>
          <w:highlight w:val="white"/>
        </w:rPr>
        <w:t>*theories of sociability</w:t>
      </w:r>
      <w:r>
        <w:rPr>
          <w:rFonts w:ascii="Garamond" w:eastAsia="Garamond" w:hAnsi="Garamond" w:cs="Garamond"/>
          <w:color w:val="000000"/>
          <w:highlight w:val="white"/>
        </w:rPr>
        <w:tab/>
      </w:r>
    </w:p>
    <w:p w14:paraId="00000011" w14:textId="77777777" w:rsidR="00FF104F" w:rsidRDefault="00FF104F">
      <w:pPr>
        <w:spacing w:after="0" w:line="276" w:lineRule="auto"/>
        <w:jc w:val="both"/>
        <w:rPr>
          <w:rFonts w:ascii="Garamond" w:eastAsia="Garamond" w:hAnsi="Garamond" w:cs="Garamond"/>
          <w:color w:val="000000"/>
          <w:highlight w:val="white"/>
        </w:rPr>
      </w:pPr>
    </w:p>
    <w:p w14:paraId="00000012" w14:textId="77777777" w:rsidR="00FF104F" w:rsidRDefault="0050289B">
      <w:pPr>
        <w:spacing w:after="0" w:line="276" w:lineRule="auto"/>
        <w:jc w:val="both"/>
        <w:rPr>
          <w:rFonts w:ascii="Garamond" w:eastAsia="Garamond" w:hAnsi="Garamond" w:cs="Garamond"/>
          <w:color w:val="000000"/>
        </w:rPr>
      </w:pPr>
      <w:r>
        <w:rPr>
          <w:rFonts w:ascii="Garamond" w:eastAsia="Garamond" w:hAnsi="Garamond" w:cs="Garamond"/>
          <w:color w:val="000000"/>
          <w:highlight w:val="white"/>
        </w:rPr>
        <w:t>Please send proposals</w:t>
      </w:r>
      <w:r>
        <w:rPr>
          <w:rFonts w:ascii="Garamond" w:eastAsia="Garamond" w:hAnsi="Garamond" w:cs="Garamond"/>
          <w:highlight w:val="white"/>
        </w:rPr>
        <w:t xml:space="preserve"> of up to 250 words,</w:t>
      </w:r>
      <w:r>
        <w:rPr>
          <w:rFonts w:ascii="Garamond" w:eastAsia="Garamond" w:hAnsi="Garamond" w:cs="Garamond"/>
          <w:color w:val="000000"/>
          <w:highlight w:val="white"/>
        </w:rPr>
        <w:t xml:space="preserve"> along with a short biographical note, to </w:t>
      </w:r>
      <w:hyperlink r:id="rId8">
        <w:r>
          <w:rPr>
            <w:rFonts w:ascii="Garamond" w:eastAsia="Garamond" w:hAnsi="Garamond" w:cs="Garamond"/>
            <w:color w:val="0563C1"/>
            <w:highlight w:val="white"/>
            <w:u w:val="single"/>
          </w:rPr>
          <w:t>hannah.tran.13@ucl.ac.uk</w:t>
        </w:r>
      </w:hyperlink>
      <w:r>
        <w:rPr>
          <w:rFonts w:ascii="Garamond" w:eastAsia="Garamond" w:hAnsi="Garamond" w:cs="Garamond"/>
          <w:color w:val="000000"/>
          <w:highlight w:val="white"/>
        </w:rPr>
        <w:t xml:space="preserve"> </w:t>
      </w:r>
      <w:r>
        <w:rPr>
          <w:rFonts w:ascii="Garamond" w:eastAsia="Garamond" w:hAnsi="Garamond" w:cs="Garamond"/>
          <w:highlight w:val="white"/>
        </w:rPr>
        <w:t xml:space="preserve">and </w:t>
      </w:r>
      <w:hyperlink r:id="rId9">
        <w:r>
          <w:rPr>
            <w:rFonts w:ascii="Garamond" w:eastAsia="Garamond" w:hAnsi="Garamond" w:cs="Garamond"/>
            <w:color w:val="1155CC"/>
            <w:highlight w:val="white"/>
            <w:u w:val="single"/>
          </w:rPr>
          <w:t>ehh24@cam.ac.uk</w:t>
        </w:r>
      </w:hyperlink>
      <w:r>
        <w:rPr>
          <w:rFonts w:ascii="Garamond" w:eastAsia="Garamond" w:hAnsi="Garamond" w:cs="Garamond"/>
          <w:highlight w:val="white"/>
        </w:rPr>
        <w:t xml:space="preserve"> by</w:t>
      </w:r>
      <w:r>
        <w:rPr>
          <w:rFonts w:ascii="Garamond" w:eastAsia="Garamond" w:hAnsi="Garamond" w:cs="Garamond"/>
          <w:color w:val="000000"/>
          <w:highlight w:val="white"/>
        </w:rPr>
        <w:t xml:space="preserve"> </w:t>
      </w:r>
      <w:r>
        <w:rPr>
          <w:rFonts w:ascii="Garamond" w:eastAsia="Garamond" w:hAnsi="Garamond" w:cs="Garamond"/>
          <w:b/>
          <w:color w:val="000000"/>
          <w:highlight w:val="white"/>
        </w:rPr>
        <w:t>31</w:t>
      </w:r>
      <w:r>
        <w:rPr>
          <w:rFonts w:ascii="Garamond" w:eastAsia="Garamond" w:hAnsi="Garamond" w:cs="Garamond"/>
          <w:b/>
          <w:color w:val="000000"/>
          <w:highlight w:val="white"/>
          <w:vertAlign w:val="superscript"/>
        </w:rPr>
        <w:t>st</w:t>
      </w:r>
      <w:r>
        <w:rPr>
          <w:rFonts w:ascii="Garamond" w:eastAsia="Garamond" w:hAnsi="Garamond" w:cs="Garamond"/>
          <w:b/>
          <w:color w:val="000000"/>
          <w:highlight w:val="white"/>
        </w:rPr>
        <w:t xml:space="preserve"> May 2020</w:t>
      </w:r>
      <w:r>
        <w:rPr>
          <w:rFonts w:ascii="Garamond" w:eastAsia="Garamond" w:hAnsi="Garamond" w:cs="Garamond"/>
          <w:color w:val="000000"/>
          <w:highlight w:val="white"/>
        </w:rPr>
        <w:t>. For more information, including the full CFP, please visit habitconference.wordpress.com or f</w:t>
      </w:r>
      <w:r>
        <w:rPr>
          <w:rFonts w:ascii="Garamond" w:eastAsia="Garamond" w:hAnsi="Garamond" w:cs="Garamond"/>
          <w:highlight w:val="white"/>
        </w:rPr>
        <w:t>ind</w:t>
      </w:r>
      <w:r>
        <w:rPr>
          <w:rFonts w:ascii="Garamond" w:eastAsia="Garamond" w:hAnsi="Garamond" w:cs="Garamond"/>
          <w:color w:val="000000"/>
          <w:highlight w:val="white"/>
        </w:rPr>
        <w:t xml:space="preserve"> us </w:t>
      </w:r>
      <w:r>
        <w:rPr>
          <w:rFonts w:ascii="Garamond" w:eastAsia="Garamond" w:hAnsi="Garamond" w:cs="Garamond"/>
          <w:highlight w:val="white"/>
        </w:rPr>
        <w:t>on Twitter @</w:t>
      </w:r>
      <w:proofErr w:type="spellStart"/>
      <w:r>
        <w:rPr>
          <w:rFonts w:ascii="Garamond" w:eastAsia="Garamond" w:hAnsi="Garamond" w:cs="Garamond"/>
          <w:highlight w:val="white"/>
        </w:rPr>
        <w:t>ConferenceHabit</w:t>
      </w:r>
      <w:proofErr w:type="spellEnd"/>
      <w:r>
        <w:rPr>
          <w:rFonts w:ascii="Garamond" w:eastAsia="Garamond" w:hAnsi="Garamond" w:cs="Garamond"/>
          <w:highlight w:val="white"/>
        </w:rPr>
        <w:t>.</w:t>
      </w:r>
    </w:p>
    <w:sectPr w:rsidR="00FF104F">
      <w:pgSz w:w="11906" w:h="16838"/>
      <w:pgMar w:top="1361" w:right="964" w:bottom="1440"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F"/>
    <w:rsid w:val="003048BC"/>
    <w:rsid w:val="0050289B"/>
    <w:rsid w:val="00655984"/>
    <w:rsid w:val="00FF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189E"/>
  <w15:docId w15:val="{FBAEA488-8BAE-1940-B967-4FE4AE74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830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3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6D"/>
    <w:rPr>
      <w:rFonts w:ascii="Segoe UI" w:hAnsi="Segoe UI" w:cs="Segoe UI"/>
      <w:sz w:val="18"/>
      <w:szCs w:val="18"/>
    </w:rPr>
  </w:style>
  <w:style w:type="character" w:styleId="Hyperlink">
    <w:name w:val="Hyperlink"/>
    <w:basedOn w:val="DefaultParagraphFont"/>
    <w:uiPriority w:val="99"/>
    <w:unhideWhenUsed/>
    <w:rsid w:val="00EF035D"/>
    <w:rPr>
      <w:color w:val="0563C1" w:themeColor="hyperlink"/>
      <w:u w:val="single"/>
    </w:rPr>
  </w:style>
  <w:style w:type="character" w:customStyle="1" w:styleId="UnresolvedMention">
    <w:name w:val="Unresolved Mention"/>
    <w:basedOn w:val="DefaultParagraphFont"/>
    <w:uiPriority w:val="99"/>
    <w:semiHidden/>
    <w:unhideWhenUsed/>
    <w:rsid w:val="00EF03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nnah.tran.13@ucl.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hh24@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iinvqqrGYX9+tZ/Q+aTkGHDiAw==">AMUW2mX7LhCPyymTyqkj3kXB9zW4r+6u+PvziaaybixIRg26F5bV0gzkYLe9FeIVteX6BwGfPjCRhQ2GxY0WDeZebnHOSftIM1tu44iGcUwPykhJ/Ax6NTGZeXDxXUSasHA0ihiISNI1SdehC6sdaDUTfK8sMjPhsw==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EC79C604157C4494573C1A0B4AD973" ma:contentTypeVersion="6" ma:contentTypeDescription="Create a new document." ma:contentTypeScope="" ma:versionID="7b05dd44d1e42e86662c3d4b1f0bec47">
  <xsd:schema xmlns:xsd="http://www.w3.org/2001/XMLSchema" xmlns:xs="http://www.w3.org/2001/XMLSchema" xmlns:p="http://schemas.microsoft.com/office/2006/metadata/properties" xmlns:ns2="e6878e0a-b076-4fef-81c8-e45dad121ce1" targetNamespace="http://schemas.microsoft.com/office/2006/metadata/properties" ma:root="true" ma:fieldsID="be68a5a6eb6e41655c9135d532859230" ns2:_="">
    <xsd:import namespace="e6878e0a-b076-4fef-81c8-e45dad121c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78e0a-b076-4fef-81c8-e45dad121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3861CF-47E7-46CD-980C-21C3EEE9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78e0a-b076-4fef-81c8-e45dad12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EC66D-81A0-4C16-AABA-0A7E1C9011B6}">
  <ds:schemaRefs>
    <ds:schemaRef ds:uri="http://schemas.microsoft.com/sharepoint/v3/contenttype/forms"/>
  </ds:schemaRefs>
</ds:datastoreItem>
</file>

<file path=customXml/itemProps4.xml><?xml version="1.0" encoding="utf-8"?>
<ds:datastoreItem xmlns:ds="http://schemas.openxmlformats.org/officeDocument/2006/customXml" ds:itemID="{5A012BC0-D6D3-4141-8A23-561056A6B59B}">
  <ds:schemaRef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6878e0a-b076-4fef-81c8-e45dad121c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Haughton-Shaw</dc:creator>
  <cp:lastModifiedBy>Valeria Farruggia</cp:lastModifiedBy>
  <cp:revision>2</cp:revision>
  <dcterms:created xsi:type="dcterms:W3CDTF">2020-02-24T16:05:00Z</dcterms:created>
  <dcterms:modified xsi:type="dcterms:W3CDTF">2020-02-24T16:05:00Z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0x010100DBEC79C604157C4494573C1A0B4AD973</vt:lpwstr>
  </property>
</Properties>
</file>